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DOCEN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 ESPERTO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0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7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per il laboratorio di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720" w:right="6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Teatro “Che cos’è l’amore”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ind w:left="720" w:right="6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Italiano “Un mare di parole”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ind w:left="720" w:right="62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Scienze Motorie “Alla scoperta del territorio”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157496</wp:posOffset>
                </wp:positionV>
                <wp:extent cx="0" cy="12700"/>
                <wp:effectExtent b="0" l="0" r="0" t="0"/>
                <wp:wrapTopAndBottom distB="4294967295" distT="4294967295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3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1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2o63gQxzK5yLI5hprzZOcunGA==">CgMxLjAyCGguZ2pkZ3hzOAByITFPdUNIMzBfdU5Yd0Zxb3Q0YU5qdFZSaWc1Z3EyNVpwYg==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